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45D97" w14:textId="77777777" w:rsidR="00694B3B" w:rsidRPr="00694B3B" w:rsidRDefault="00694B3B" w:rsidP="00694B3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t>REXOFACE – Manejo de las 5 principales objeciones de venta</w:t>
      </w:r>
    </w:p>
    <w:p w14:paraId="4F475F58" w14:textId="77777777" w:rsidR="00694B3B" w:rsidRPr="00694B3B" w:rsidRDefault="00694B3B" w:rsidP="00694B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lang w:eastAsia="es-ES"/>
          <w14:ligatures w14:val="none"/>
        </w:rPr>
        <w:t>Objeciones y respuestas simples</w:t>
      </w:r>
    </w:p>
    <w:p w14:paraId="742A38E5" w14:textId="5EAC2A68" w:rsidR="00694B3B" w:rsidRPr="005802CF" w:rsidRDefault="00694B3B" w:rsidP="00694B3B">
      <w:pPr>
        <w:pStyle w:val="Prrafodelista"/>
        <w:numPr>
          <w:ilvl w:val="0"/>
          <w:numId w:val="1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u w:val="single"/>
          <w:lang w:eastAsia="es-ES"/>
          <w14:ligatures w14:val="none"/>
        </w:rPr>
      </w:pPr>
      <w:r w:rsidRPr="005802CF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u w:val="single"/>
          <w:lang w:eastAsia="es-ES"/>
          <w14:ligatures w14:val="none"/>
        </w:rPr>
        <w:t>Objeción 1:</w:t>
      </w:r>
      <w:r w:rsidR="005802CF" w:rsidRPr="005802CF">
        <w:rPr>
          <w:rFonts w:ascii="Times New Roman" w:eastAsia="Times New Roman" w:hAnsi="Times New Roman" w:cs="Times New Roman"/>
          <w:b/>
          <w:bCs/>
          <w:color w:val="002060"/>
          <w:kern w:val="0"/>
          <w:sz w:val="27"/>
          <w:szCs w:val="27"/>
          <w:u w:val="single"/>
          <w:lang w:eastAsia="es-ES"/>
          <w14:ligatures w14:val="none"/>
        </w:rPr>
        <w:t xml:space="preserve"> </w:t>
      </w:r>
      <w:r w:rsidRPr="005802CF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“¿Es otro producto de exosomas?”</w:t>
      </w:r>
    </w:p>
    <w:p w14:paraId="12D5AE91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color w:val="002060"/>
          <w:kern w:val="0"/>
          <w:lang w:eastAsia="es-ES"/>
          <w14:ligatures w14:val="none"/>
        </w:rPr>
        <w:t>Respuesta (simple y segura):</w:t>
      </w:r>
    </w:p>
    <w:p w14:paraId="2A96B071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“No. Exobiotic® pertenece a una categoría diferente. Actúa de forma tópica sobre el microbioma cutáneo y las células de la piel, con un mecanismo de acción dual. Lo llamamos BioRegeneración. Va más allá de los exosomas.”</w:t>
      </w:r>
    </w:p>
    <w:p w14:paraId="71FBA8A1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Mensaje clave para ventas: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Categoría diferente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Acción externa + interna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Enfoque en el microbioma</w:t>
      </w:r>
    </w:p>
    <w:p w14:paraId="00C8DBEE" w14:textId="572E72B7" w:rsidR="00694B3B" w:rsidRPr="00CB1671" w:rsidRDefault="00694B3B" w:rsidP="00694B3B">
      <w:pPr>
        <w:pStyle w:val="Prrafodelista"/>
        <w:numPr>
          <w:ilvl w:val="0"/>
          <w:numId w:val="1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</w:pPr>
      <w:r w:rsidRPr="00CB1671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u w:val="single"/>
          <w:lang w:eastAsia="es-ES"/>
          <w14:ligatures w14:val="none"/>
        </w:rPr>
        <w:t>Objeción 2:</w:t>
      </w:r>
      <w:r w:rsidR="005802CF" w:rsidRPr="00CB1671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 xml:space="preserve"> </w:t>
      </w:r>
      <w:r w:rsidRPr="00CB1671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“¿Por qué debería usar esto en lugar de lo que ya utilizo?”</w:t>
      </w:r>
    </w:p>
    <w:p w14:paraId="34A9D7A8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color w:val="002060"/>
          <w:kern w:val="0"/>
          <w:lang w:eastAsia="es-ES"/>
          <w14:ligatures w14:val="none"/>
        </w:rPr>
        <w:t>Respuesta:</w:t>
      </w:r>
    </w:p>
    <w:p w14:paraId="72C32996" w14:textId="63BB1128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“Porque Exobiotic® es específico para la piel. Procede de bacterias presentes de forma natural en </w:t>
      </w:r>
      <w:r w:rsidR="0054365F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la microbiota de la piel</w:t>
      </w: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, lo que le confiere una alta afinidad y compatibilidad. Restaura el equilibrio, reduce la inflamación y mejora la regeneración sin añadir nada ajeno a la piel.</w:t>
      </w:r>
      <w:r w:rsidR="0054365F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 Estas bacterias</w:t>
      </w:r>
      <w:r w:rsidR="006316D6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 y partículas</w:t>
      </w:r>
      <w:r w:rsidR="0054365F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 ya </w:t>
      </w:r>
      <w:r w:rsidR="006316D6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están reconocidas por nuestras células y tejidos</w:t>
      </w: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”</w:t>
      </w:r>
    </w:p>
    <w:p w14:paraId="441F57DD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Mensaje clave: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Alta afinidad cutánea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Enfoque fisiológico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Calidad de la piel a largo plazo</w:t>
      </w:r>
    </w:p>
    <w:p w14:paraId="017A9EF8" w14:textId="2F0AAD44" w:rsidR="00694B3B" w:rsidRPr="00694B3B" w:rsidRDefault="00694B3B" w:rsidP="00694B3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72060BB9" w14:textId="761CE0DB" w:rsidR="00694B3B" w:rsidRPr="00CB1671" w:rsidRDefault="00694B3B" w:rsidP="00694B3B">
      <w:pPr>
        <w:pStyle w:val="Prrafodelista"/>
        <w:numPr>
          <w:ilvl w:val="0"/>
          <w:numId w:val="1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</w:pPr>
      <w:r w:rsidRPr="00CB1671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u w:val="single"/>
          <w:lang w:eastAsia="es-ES"/>
          <w14:ligatures w14:val="none"/>
        </w:rPr>
        <w:t>Objeción 3</w:t>
      </w:r>
      <w:r w:rsidRPr="00CB1671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:“¿Es seguro?”</w:t>
      </w:r>
    </w:p>
    <w:p w14:paraId="6CFCA6B9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Respuesta:</w:t>
      </w:r>
    </w:p>
    <w:p w14:paraId="3395046A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“Sí. Las partículas Exobiotic® proceden de bacterias probióticas seguras del microbioma cutáneo. Están diseñadas para uso tópico y presentan un perfil de seguridad muy elevado.”</w:t>
      </w:r>
    </w:p>
    <w:p w14:paraId="76D71E10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Mensaje clave: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Origen probiótico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lastRenderedPageBreak/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Aplicación tópica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Compatible con la piel</w:t>
      </w:r>
    </w:p>
    <w:p w14:paraId="26CB039B" w14:textId="0C6BED22" w:rsidR="00694B3B" w:rsidRPr="00CB1671" w:rsidRDefault="00694B3B" w:rsidP="00694B3B">
      <w:pPr>
        <w:pStyle w:val="Prrafodelista"/>
        <w:numPr>
          <w:ilvl w:val="0"/>
          <w:numId w:val="1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</w:pPr>
      <w:r w:rsidRPr="00CB1671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u w:val="single"/>
          <w:lang w:eastAsia="es-ES"/>
          <w14:ligatures w14:val="none"/>
        </w:rPr>
        <w:t>Objeción 4:“¿</w:t>
      </w:r>
      <w:r w:rsidRPr="00CB1671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Cuándo lo utilizaría realmente en mi práctica?”</w:t>
      </w:r>
    </w:p>
    <w:p w14:paraId="5556241A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Respuesta:</w:t>
      </w:r>
    </w:p>
    <w:p w14:paraId="64B3EEA2" w14:textId="731437FA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“RexoFace es ideal para regeneración antienvejecimiento, patologías inflamatorias de la piel, problemas de pigmentación y, especialmente, tras procedimientos estéticos para reducir la inflamación, el riesgo de hiperpigmentación postinflamatoria (PIH) y mejorar la recuperación.”</w:t>
      </w:r>
    </w:p>
    <w:p w14:paraId="74DE5048" w14:textId="77221F35" w:rsidR="00694B3B" w:rsidRPr="00694B3B" w:rsidRDefault="00694B3B" w:rsidP="00CB16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Mensaje clave: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Fácil integración en la práctica diaria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Alto valor post-procedimiento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Amplias indicaciones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Longevidad cutánea</w:t>
      </w:r>
    </w:p>
    <w:p w14:paraId="0A193E0F" w14:textId="0C790AE2" w:rsidR="00694B3B" w:rsidRPr="00CB1671" w:rsidRDefault="00694B3B" w:rsidP="00694B3B">
      <w:pPr>
        <w:pStyle w:val="Prrafodelista"/>
        <w:numPr>
          <w:ilvl w:val="0"/>
          <w:numId w:val="13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</w:pPr>
      <w:r w:rsidRPr="00CB1671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u w:val="single"/>
          <w:lang w:eastAsia="es-ES"/>
          <w14:ligatures w14:val="none"/>
        </w:rPr>
        <w:t>Objeción 5:</w:t>
      </w:r>
      <w:r w:rsidR="00CB1671" w:rsidRPr="00CB1671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 xml:space="preserve"> </w:t>
      </w:r>
      <w:r w:rsidRPr="00CB1671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“¿Puedo combinarlo con láseres o dispositivos?”</w:t>
      </w:r>
    </w:p>
    <w:p w14:paraId="056E7050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Respuesta:</w:t>
      </w:r>
    </w:p>
    <w:p w14:paraId="78D75CA4" w14:textId="03038EC8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“Sí. Los láseres y los dispositivos basados en energía alteran el microbioma cutáneo. RexoFace ayuda a restaurar el equilibrio, calmar la inflamación y mejorar los resultados finales.</w:t>
      </w:r>
      <w:r w:rsidR="00CB1671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 xml:space="preserve"> Ademas el uso de RexoFace post-Laser reduce el riesgo de </w:t>
      </w:r>
      <w:r w:rsidR="00CB1671"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hiperpigmentación postinflamatoria (PIH)</w:t>
      </w: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”</w:t>
      </w:r>
    </w:p>
    <w:p w14:paraId="7909E687" w14:textId="77777777" w:rsidR="00694B3B" w:rsidRPr="00694B3B" w:rsidRDefault="00694B3B" w:rsidP="0069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Mensaje clave: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Ideal post-láser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Reduce el downtime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r w:rsidRPr="00694B3B">
        <w:rPr>
          <w:rFonts w:ascii="Segoe UI Symbol" w:eastAsia="Times New Roman" w:hAnsi="Segoe UI Symbol" w:cs="Segoe UI Symbol"/>
          <w:kern w:val="0"/>
          <w:lang w:eastAsia="es-ES"/>
          <w14:ligatures w14:val="none"/>
        </w:rPr>
        <w:t>✔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Potencia los resultados</w:t>
      </w:r>
    </w:p>
    <w:p w14:paraId="0BDDB910" w14:textId="59E3EC66" w:rsidR="00694B3B" w:rsidRPr="00694B3B" w:rsidRDefault="00694B3B" w:rsidP="00694B3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54116391" w14:textId="0EE5E5E4" w:rsidR="00694B3B" w:rsidRPr="00694B3B" w:rsidRDefault="00694B3B" w:rsidP="00CB167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RECORDATORIO PARA VENTAS</w:t>
      </w:r>
    </w:p>
    <w:p w14:paraId="3A2599D4" w14:textId="77777777" w:rsidR="00694B3B" w:rsidRDefault="00694B3B" w:rsidP="00694B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Comenzar siempre hablando de </w:t>
      </w: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Exobiotic®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, no del producto</w:t>
      </w:r>
    </w:p>
    <w:p w14:paraId="3A9EB2BD" w14:textId="6219BBE5" w:rsidR="00CB1671" w:rsidRPr="00694B3B" w:rsidRDefault="00CB1671" w:rsidP="00694B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Renvix es el nombre de la empresa, RexoFace es el nombre del producto</w:t>
      </w:r>
    </w:p>
    <w:p w14:paraId="4F8B1FEC" w14:textId="77777777" w:rsidR="00694B3B" w:rsidRPr="00694B3B" w:rsidRDefault="00694B3B" w:rsidP="00694B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NO hablar de exosomas</w:t>
      </w:r>
    </w:p>
    <w:p w14:paraId="27548CA2" w14:textId="77777777" w:rsidR="00694B3B" w:rsidRPr="00694B3B" w:rsidRDefault="00694B3B" w:rsidP="00694B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Posicionar como </w:t>
      </w: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BioRegeneración</w:t>
      </w: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, una nueva categoría basada en el microbioma cutáneo</w:t>
      </w:r>
    </w:p>
    <w:p w14:paraId="71A3EBE7" w14:textId="77777777" w:rsidR="00694B3B" w:rsidRPr="00694B3B" w:rsidRDefault="00694B3B" w:rsidP="00694B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Mantener explicaciones </w:t>
      </w:r>
      <w:r w:rsidRPr="00694B3B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simples, claras y seguras</w:t>
      </w:r>
    </w:p>
    <w:p w14:paraId="58C11429" w14:textId="284E1588" w:rsidR="0007054C" w:rsidRPr="00CB1671" w:rsidRDefault="00694B3B" w:rsidP="00CB167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694B3B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Evitar comparaciones agresivas</w:t>
      </w:r>
    </w:p>
    <w:sectPr w:rsidR="0007054C" w:rsidRPr="00CB167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4DFA4" w14:textId="77777777" w:rsidR="00880EDE" w:rsidRDefault="00880EDE" w:rsidP="0007054C">
      <w:pPr>
        <w:spacing w:after="0" w:line="240" w:lineRule="auto"/>
      </w:pPr>
      <w:r>
        <w:separator/>
      </w:r>
    </w:p>
  </w:endnote>
  <w:endnote w:type="continuationSeparator" w:id="0">
    <w:p w14:paraId="7D077E11" w14:textId="77777777" w:rsidR="00880EDE" w:rsidRDefault="00880EDE" w:rsidP="0007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C3784" w14:textId="77777777" w:rsidR="00880EDE" w:rsidRDefault="00880EDE" w:rsidP="0007054C">
      <w:pPr>
        <w:spacing w:after="0" w:line="240" w:lineRule="auto"/>
      </w:pPr>
      <w:r>
        <w:separator/>
      </w:r>
    </w:p>
  </w:footnote>
  <w:footnote w:type="continuationSeparator" w:id="0">
    <w:p w14:paraId="1FFA047D" w14:textId="77777777" w:rsidR="00880EDE" w:rsidRDefault="00880EDE" w:rsidP="0007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058F" w14:textId="77886542" w:rsidR="0007054C" w:rsidRDefault="0007054C" w:rsidP="0007054C">
    <w:pPr>
      <w:pStyle w:val="Encabezado"/>
      <w:jc w:val="center"/>
    </w:pPr>
    <w:r w:rsidRPr="005D2A98">
      <w:rPr>
        <w:rFonts w:ascii="Calibri" w:eastAsia="Calibri" w:hAnsi="Calibri" w:cs="Arial"/>
        <w:noProof/>
        <w:kern w:val="0"/>
        <w:sz w:val="22"/>
        <w:szCs w:val="22"/>
        <w14:ligatures w14:val="none"/>
      </w:rPr>
      <w:drawing>
        <wp:inline distT="0" distB="0" distL="0" distR="0" wp14:anchorId="46A17E8D" wp14:editId="3C80BE84">
          <wp:extent cx="871537" cy="955576"/>
          <wp:effectExtent l="0" t="0" r="5080" b="0"/>
          <wp:docPr id="44955251" name="Imagen 1" descr="Un conjunto de letras blancas en un fondo blanc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336619" name="Imagen 1" descr="Un conjunto de letras blancas en un fondo blanco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985" cy="9681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148C1"/>
    <w:multiLevelType w:val="multilevel"/>
    <w:tmpl w:val="A34C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82FCE"/>
    <w:multiLevelType w:val="hybridMultilevel"/>
    <w:tmpl w:val="3FFE5A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9489B"/>
    <w:multiLevelType w:val="multilevel"/>
    <w:tmpl w:val="5E10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CB1553"/>
    <w:multiLevelType w:val="multilevel"/>
    <w:tmpl w:val="9F36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CE7ABE"/>
    <w:multiLevelType w:val="multilevel"/>
    <w:tmpl w:val="3FCE4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09517C"/>
    <w:multiLevelType w:val="multilevel"/>
    <w:tmpl w:val="B448A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1A534A"/>
    <w:multiLevelType w:val="hybridMultilevel"/>
    <w:tmpl w:val="ABBCC0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54171"/>
    <w:multiLevelType w:val="multilevel"/>
    <w:tmpl w:val="6156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0A1D0C"/>
    <w:multiLevelType w:val="multilevel"/>
    <w:tmpl w:val="3ABEF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000E8D"/>
    <w:multiLevelType w:val="hybridMultilevel"/>
    <w:tmpl w:val="8CEE07F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459F5"/>
    <w:multiLevelType w:val="multilevel"/>
    <w:tmpl w:val="C826D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6A163A"/>
    <w:multiLevelType w:val="multilevel"/>
    <w:tmpl w:val="C870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A817F7"/>
    <w:multiLevelType w:val="multilevel"/>
    <w:tmpl w:val="13945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5018596">
    <w:abstractNumId w:val="8"/>
  </w:num>
  <w:num w:numId="2" w16cid:durableId="568658524">
    <w:abstractNumId w:val="4"/>
  </w:num>
  <w:num w:numId="3" w16cid:durableId="1921480997">
    <w:abstractNumId w:val="0"/>
  </w:num>
  <w:num w:numId="4" w16cid:durableId="1277249579">
    <w:abstractNumId w:val="7"/>
  </w:num>
  <w:num w:numId="5" w16cid:durableId="1185559441">
    <w:abstractNumId w:val="3"/>
  </w:num>
  <w:num w:numId="6" w16cid:durableId="1065832704">
    <w:abstractNumId w:val="10"/>
  </w:num>
  <w:num w:numId="7" w16cid:durableId="383067117">
    <w:abstractNumId w:val="2"/>
  </w:num>
  <w:num w:numId="8" w16cid:durableId="506214809">
    <w:abstractNumId w:val="12"/>
  </w:num>
  <w:num w:numId="9" w16cid:durableId="757404733">
    <w:abstractNumId w:val="9"/>
  </w:num>
  <w:num w:numId="10" w16cid:durableId="1218855958">
    <w:abstractNumId w:val="5"/>
  </w:num>
  <w:num w:numId="11" w16cid:durableId="1620986594">
    <w:abstractNumId w:val="1"/>
  </w:num>
  <w:num w:numId="12" w16cid:durableId="1245257805">
    <w:abstractNumId w:val="11"/>
  </w:num>
  <w:num w:numId="13" w16cid:durableId="5203630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54C"/>
    <w:rsid w:val="0007054C"/>
    <w:rsid w:val="000B60A4"/>
    <w:rsid w:val="002A31EA"/>
    <w:rsid w:val="00322444"/>
    <w:rsid w:val="00322B3B"/>
    <w:rsid w:val="004D09EF"/>
    <w:rsid w:val="0054365F"/>
    <w:rsid w:val="005802CF"/>
    <w:rsid w:val="006316D6"/>
    <w:rsid w:val="00694B3B"/>
    <w:rsid w:val="00877E12"/>
    <w:rsid w:val="00880EDE"/>
    <w:rsid w:val="008C1683"/>
    <w:rsid w:val="008F3EB7"/>
    <w:rsid w:val="00A75EE7"/>
    <w:rsid w:val="00B070EA"/>
    <w:rsid w:val="00B1009A"/>
    <w:rsid w:val="00B37904"/>
    <w:rsid w:val="00C11D49"/>
    <w:rsid w:val="00CB1671"/>
    <w:rsid w:val="00E50EB2"/>
    <w:rsid w:val="00ED36F8"/>
    <w:rsid w:val="00EE3E37"/>
    <w:rsid w:val="00F0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EB516"/>
  <w15:chartTrackingRefBased/>
  <w15:docId w15:val="{939C44E0-D4C0-4EB0-ABA6-64853922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70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5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5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5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5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5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5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5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54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54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5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54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5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54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5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70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70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7054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54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7054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54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54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7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54C"/>
  </w:style>
  <w:style w:type="paragraph" w:styleId="Piedepgina">
    <w:name w:val="footer"/>
    <w:basedOn w:val="Normal"/>
    <w:link w:val="PiedepginaCar"/>
    <w:uiPriority w:val="99"/>
    <w:unhideWhenUsed/>
    <w:rsid w:val="0007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0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398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Youssef</dc:creator>
  <cp:keywords/>
  <dc:description/>
  <cp:lastModifiedBy>Robert Youssef</cp:lastModifiedBy>
  <cp:revision>7</cp:revision>
  <dcterms:created xsi:type="dcterms:W3CDTF">2026-01-02T16:20:00Z</dcterms:created>
  <dcterms:modified xsi:type="dcterms:W3CDTF">2026-01-02T16:27:00Z</dcterms:modified>
</cp:coreProperties>
</file>